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C54" w:rsidRDefault="00C47C54"/>
    <w:p w:rsidR="00C47C54" w:rsidRPr="00C47C54" w:rsidRDefault="00C47C54" w:rsidP="00C47C54">
      <w:pPr>
        <w:keepNext/>
        <w:keepLines/>
        <w:spacing w:before="200" w:after="200"/>
        <w:outlineLvl w:val="0"/>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t>Welcome to Four Rivers Family of Schools</w:t>
      </w:r>
    </w:p>
    <w:p w:rsidR="00C47C54" w:rsidRPr="00C47C54" w:rsidRDefault="00C47C54" w:rsidP="00C47C54">
      <w:pPr>
        <w:keepNext/>
        <w:keepLines/>
        <w:spacing w:before="200" w:after="200"/>
        <w:outlineLvl w:val="1"/>
        <w:rPr>
          <w:rFonts w:ascii="Poppins SemiBold" w:eastAsia="MS Gothic" w:hAnsi="Poppins SemiBold" w:cs="Times New Roman"/>
          <w:b/>
          <w:color w:val="2F5496"/>
          <w:sz w:val="26"/>
          <w:szCs w:val="26"/>
        </w:rPr>
      </w:pPr>
      <w:r w:rsidRPr="00C47C54">
        <w:rPr>
          <w:rFonts w:ascii="Poppins SemiBold" w:eastAsia="MS Gothic" w:hAnsi="Poppins SemiBold" w:cs="Times New Roman"/>
          <w:b/>
          <w:color w:val="2F5496"/>
          <w:sz w:val="26"/>
          <w:szCs w:val="26"/>
        </w:rPr>
        <w:t xml:space="preserve">Vacancy </w:t>
      </w:r>
      <w:r w:rsidR="00B63F1D">
        <w:rPr>
          <w:rFonts w:ascii="Poppins SemiBold" w:eastAsia="MS Gothic" w:hAnsi="Poppins SemiBold" w:cs="Times New Roman"/>
          <w:b/>
          <w:color w:val="2F5496"/>
          <w:sz w:val="26"/>
          <w:szCs w:val="26"/>
        </w:rPr>
        <w:t>SEMH Outreach Support T</w:t>
      </w:r>
      <w:r w:rsidR="00D86F39">
        <w:rPr>
          <w:rFonts w:ascii="Poppins SemiBold" w:eastAsia="MS Gothic" w:hAnsi="Poppins SemiBold" w:cs="Times New Roman"/>
          <w:b/>
          <w:color w:val="2F5496"/>
          <w:sz w:val="26"/>
          <w:szCs w:val="26"/>
        </w:rPr>
        <w:t xml:space="preserve">eacher </w:t>
      </w:r>
      <w:r w:rsidRPr="00C47C54">
        <w:rPr>
          <w:rFonts w:ascii="Poppins SemiBold" w:eastAsia="MS Gothic" w:hAnsi="Poppins SemiBold" w:cs="Times New Roman"/>
          <w:b/>
          <w:color w:val="2F5496"/>
          <w:sz w:val="26"/>
          <w:szCs w:val="26"/>
        </w:rPr>
        <w:t xml:space="preserve">at </w:t>
      </w:r>
      <w:r w:rsidR="00B63F1D">
        <w:rPr>
          <w:rFonts w:ascii="Poppins SemiBold" w:eastAsia="MS Gothic" w:hAnsi="Poppins SemiBold" w:cs="Times New Roman"/>
          <w:b/>
          <w:color w:val="2F5496"/>
          <w:sz w:val="26"/>
          <w:szCs w:val="26"/>
        </w:rPr>
        <w:t>The Quay</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Thank you for taking the time to visit our website and consider our vacancies.</w:t>
      </w:r>
    </w:p>
    <w:p w:rsidR="00B63F1D" w:rsidRPr="00C47C54" w:rsidRDefault="00B63F1D"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Pr>
          <w:rFonts w:ascii="Arial Narrow" w:eastAsia="Poppins-Regular" w:hAnsi="Arial Narrow" w:cs="Times New Roman"/>
          <w:color w:val="121922"/>
          <w14:textFill>
            <w14:solidFill>
              <w14:srgbClr w14:val="121922">
                <w14:lumMod w14:val="50000"/>
                <w14:lumOff w14:val="50000"/>
              </w14:srgbClr>
            </w14:solidFill>
          </w14:textFill>
        </w:rPr>
        <w:t>Thanks for getting past the clumsy title of this position… you may be our kind of person!</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At Four Rivers Family of Schools we believe inclusion is at the heart of what we deliver and we are excited about making learning relevant and pertinent for all our learners.</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If you share our vision to deliver a great learning opportunity for all our learners we would be delighted to hear from you.</w:t>
      </w:r>
    </w:p>
    <w:p w:rsidR="00B63F1D" w:rsidRDefault="00B63F1D"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p>
    <w:p w:rsidR="001835A3" w:rsidRDefault="00B63F1D"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Pr>
          <w:rFonts w:ascii="Arial Narrow" w:eastAsia="Poppins-Regular" w:hAnsi="Arial Narrow" w:cs="Times New Roman"/>
          <w:color w:val="121922"/>
          <w14:textFill>
            <w14:solidFill>
              <w14:srgbClr w14:val="121922">
                <w14:lumMod w14:val="50000"/>
                <w14:lumOff w14:val="50000"/>
              </w14:srgbClr>
            </w14:solidFill>
          </w14:textFill>
        </w:rPr>
        <w:t xml:space="preserve">This is a </w:t>
      </w:r>
      <w:proofErr w:type="gramStart"/>
      <w:r>
        <w:rPr>
          <w:rFonts w:ascii="Arial Narrow" w:eastAsia="Poppins-Regular" w:hAnsi="Arial Narrow" w:cs="Times New Roman"/>
          <w:color w:val="121922"/>
          <w14:textFill>
            <w14:solidFill>
              <w14:srgbClr w14:val="121922">
                <w14:lumMod w14:val="50000"/>
                <w14:lumOff w14:val="50000"/>
              </w14:srgbClr>
            </w14:solidFill>
          </w14:textFill>
        </w:rPr>
        <w:t>brand new</w:t>
      </w:r>
      <w:proofErr w:type="gramEnd"/>
      <w:r>
        <w:rPr>
          <w:rFonts w:ascii="Arial Narrow" w:eastAsia="Poppins-Regular" w:hAnsi="Arial Narrow" w:cs="Times New Roman"/>
          <w:color w:val="121922"/>
          <w14:textFill>
            <w14:solidFill>
              <w14:srgbClr w14:val="121922">
                <w14:lumMod w14:val="50000"/>
                <w14:lumOff w14:val="50000"/>
              </w14:srgbClr>
            </w14:solidFill>
          </w14:textFill>
        </w:rPr>
        <w:t xml:space="preserve"> initiative and we are excited to be able to expand and offer positions to make a vision a reality for some of our young people.  This role is a very special one – pardon the pun.  We are developing an </w:t>
      </w:r>
      <w:proofErr w:type="gramStart"/>
      <w:r>
        <w:rPr>
          <w:rFonts w:ascii="Arial Narrow" w:eastAsia="Poppins-Regular" w:hAnsi="Arial Narrow" w:cs="Times New Roman"/>
          <w:color w:val="121922"/>
          <w14:textFill>
            <w14:solidFill>
              <w14:srgbClr w14:val="121922">
                <w14:lumMod w14:val="50000"/>
                <w14:lumOff w14:val="50000"/>
              </w14:srgbClr>
            </w14:solidFill>
          </w14:textFill>
        </w:rPr>
        <w:t>all purpose</w:t>
      </w:r>
      <w:proofErr w:type="gramEnd"/>
      <w:r>
        <w:rPr>
          <w:rFonts w:ascii="Arial Narrow" w:eastAsia="Poppins-Regular" w:hAnsi="Arial Narrow" w:cs="Times New Roman"/>
          <w:color w:val="121922"/>
          <w14:textFill>
            <w14:solidFill>
              <w14:srgbClr w14:val="121922">
                <w14:lumMod w14:val="50000"/>
                <w14:lumOff w14:val="50000"/>
              </w14:srgbClr>
            </w14:solidFill>
          </w14:textFill>
        </w:rPr>
        <w:t xml:space="preserve"> site to support learners within a mainstream, resourced and special setting.  </w:t>
      </w:r>
      <w:r w:rsidR="001835A3">
        <w:rPr>
          <w:rFonts w:ascii="Arial Narrow" w:eastAsia="Poppins-Regular" w:hAnsi="Arial Narrow" w:cs="Times New Roman"/>
          <w:color w:val="121922"/>
          <w14:textFill>
            <w14:solidFill>
              <w14:srgbClr w14:val="121922">
                <w14:lumMod w14:val="50000"/>
                <w14:lumOff w14:val="50000"/>
              </w14:srgbClr>
            </w14:solidFill>
          </w14:textFill>
        </w:rPr>
        <w:t>We can guarantee you will be busy and we endeavour to make the job fulfilling and worthwhile.</w:t>
      </w:r>
    </w:p>
    <w:p w:rsidR="00B63F1D" w:rsidRPr="00C47C54" w:rsidRDefault="00B63F1D"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We are looking for educationalists who see learning as an adventure and teaching as a vocation.  We want to create something special for our children, our families and offer a working environment built on mutual respect that allows expertise at all levels to permeate throughout our family of schools and beyond.</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We are closing this round of application on March 12</w:t>
      </w:r>
      <w:r w:rsidRPr="00C47C54">
        <w:rPr>
          <w:rFonts w:ascii="Arial Narrow" w:eastAsia="Poppins-Regular" w:hAnsi="Arial Narrow" w:cs="Times New Roman"/>
          <w:color w:val="121922"/>
          <w:vertAlign w:val="superscript"/>
          <w14:textFill>
            <w14:solidFill>
              <w14:srgbClr w14:val="121922">
                <w14:lumMod w14:val="50000"/>
                <w14:lumOff w14:val="50000"/>
              </w14:srgbClr>
            </w14:solidFill>
          </w14:textFill>
        </w:rPr>
        <w:t>th</w:t>
      </w: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at midday.</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Interviews are scheduled for March 2025.  We anticipate the position stating from September 2025, before if your current contract allows it.</w:t>
      </w:r>
    </w:p>
    <w:p w:rsidR="001835A3" w:rsidRPr="00C47C54" w:rsidRDefault="001835A3"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We have given our posts a salary range but believe experience and expertise are important.  </w:t>
      </w:r>
      <w:r w:rsidR="00D86F39">
        <w:rPr>
          <w:rFonts w:ascii="Arial Narrow" w:eastAsia="Poppins-Regular" w:hAnsi="Arial Narrow" w:cs="Times New Roman"/>
          <w:color w:val="121922"/>
          <w14:textFill>
            <w14:solidFill>
              <w14:srgbClr w14:val="121922">
                <w14:lumMod w14:val="50000"/>
                <w14:lumOff w14:val="50000"/>
              </w14:srgbClr>
            </w14:solidFill>
          </w14:textFill>
        </w:rPr>
        <w:t>Fo</w:t>
      </w:r>
      <w:r w:rsidRPr="00C47C54">
        <w:rPr>
          <w:rFonts w:ascii="Arial Narrow" w:eastAsia="Poppins-Regular" w:hAnsi="Arial Narrow" w:cs="Times New Roman"/>
          <w:color w:val="121922"/>
          <w14:textFill>
            <w14:solidFill>
              <w14:srgbClr w14:val="121922">
                <w14:lumMod w14:val="50000"/>
                <w14:lumOff w14:val="50000"/>
              </w14:srgbClr>
            </w14:solidFill>
          </w14:textFill>
        </w:rPr>
        <w:t>r the right candidate to enhance our team</w:t>
      </w:r>
      <w:r w:rsidR="00D86F39">
        <w:rPr>
          <w:rFonts w:ascii="Arial Narrow" w:eastAsia="Poppins-Regular" w:hAnsi="Arial Narrow" w:cs="Times New Roman"/>
          <w:color w:val="121922"/>
          <w14:textFill>
            <w14:solidFill>
              <w14:srgbClr w14:val="121922">
                <w14:lumMod w14:val="50000"/>
                <w14:lumOff w14:val="50000"/>
              </w14:srgbClr>
            </w14:solidFill>
          </w14:textFill>
        </w:rPr>
        <w:t>,</w:t>
      </w: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we may stretch our budget a little further.</w:t>
      </w:r>
    </w:p>
    <w:p w:rsidR="00C47C54" w:rsidRPr="00C47C54" w:rsidRDefault="00C47C54" w:rsidP="00C47C54">
      <w:pPr>
        <w:keepNext/>
        <w:keepLines/>
        <w:spacing w:before="200" w:after="200"/>
        <w:outlineLvl w:val="1"/>
        <w:rPr>
          <w:rFonts w:ascii="Poppins SemiBold" w:eastAsia="MS Gothic" w:hAnsi="Poppins SemiBold" w:cs="Times New Roman"/>
          <w:b/>
          <w:color w:val="2F5496"/>
          <w:sz w:val="26"/>
          <w:szCs w:val="26"/>
        </w:rPr>
      </w:pPr>
      <w:r w:rsidRPr="00C47C54">
        <w:rPr>
          <w:rFonts w:ascii="Poppins SemiBold" w:eastAsia="MS Gothic" w:hAnsi="Poppins SemiBold" w:cs="Times New Roman"/>
          <w:b/>
          <w:color w:val="2F5496"/>
          <w:sz w:val="26"/>
          <w:szCs w:val="26"/>
        </w:rPr>
        <w:lastRenderedPageBreak/>
        <w:t>How to Apply</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Please download and complete the application form and return it via </w:t>
      </w:r>
      <w:hyperlink r:id="rId7"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Indicate on the form which position you are applying to and which school or site as appropriate.  That way, the right panel of people will review your application.</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If you would like to know a little more then please email via </w:t>
      </w:r>
      <w:hyperlink r:id="rId8"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FAO Jacqui and someone will get back to you to arrange a chat.</w:t>
      </w:r>
    </w:p>
    <w:p w:rsidR="00C47C54" w:rsidRPr="00C47C54" w:rsidRDefault="00C47C54" w:rsidP="00C47C54">
      <w:pPr>
        <w:keepNext/>
        <w:keepLines/>
        <w:spacing w:before="200" w:after="200"/>
        <w:outlineLvl w:val="0"/>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t>Want to know more?</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If you would like to know a little more then please email via </w:t>
      </w:r>
      <w:hyperlink r:id="rId9"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FAO Jacqui and someone will get back to you to arrange a chat</w:t>
      </w:r>
    </w:p>
    <w:p w:rsidR="00C47C54" w:rsidRPr="00C47C54" w:rsidRDefault="00C47C54" w:rsidP="00C47C54">
      <w:pPr>
        <w:spacing w:before="100" w:after="100" w:line="276" w:lineRule="auto"/>
        <w:jc w:val="both"/>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t xml:space="preserve">The </w:t>
      </w:r>
      <w:r w:rsidRPr="00C47C54">
        <w:rPr>
          <w:rFonts w:ascii="Poppins SemiBold" w:eastAsia="MS Gothic" w:hAnsi="Poppins SemiBold" w:cs="Times New Roman"/>
          <w:b/>
          <w:color w:val="2F5496"/>
          <w:sz w:val="32"/>
          <w:szCs w:val="32"/>
        </w:rPr>
        <w:t>i</w:t>
      </w:r>
      <w:r w:rsidRPr="00C47C54">
        <w:rPr>
          <w:rFonts w:ascii="Poppins SemiBold" w:eastAsia="MS Gothic" w:hAnsi="Poppins SemiBold" w:cs="Times New Roman"/>
          <w:b/>
          <w:color w:val="2F5496"/>
          <w:sz w:val="32"/>
          <w:szCs w:val="32"/>
        </w:rPr>
        <w:t xml:space="preserve">deal </w:t>
      </w:r>
      <w:r w:rsidRPr="00C47C54">
        <w:rPr>
          <w:rFonts w:ascii="Poppins SemiBold" w:eastAsia="MS Gothic" w:hAnsi="Poppins SemiBold" w:cs="Times New Roman"/>
          <w:b/>
          <w:color w:val="2F5496"/>
          <w:sz w:val="32"/>
          <w:szCs w:val="32"/>
        </w:rPr>
        <w:t>c</w:t>
      </w:r>
      <w:r w:rsidRPr="00C47C54">
        <w:rPr>
          <w:rFonts w:ascii="Poppins SemiBold" w:eastAsia="MS Gothic" w:hAnsi="Poppins SemiBold" w:cs="Times New Roman"/>
          <w:b/>
          <w:color w:val="2F5496"/>
          <w:sz w:val="32"/>
          <w:szCs w:val="32"/>
        </w:rPr>
        <w:t>andida</w:t>
      </w:r>
      <w:r w:rsidRPr="00C47C54">
        <w:rPr>
          <w:rFonts w:ascii="Poppins SemiBold" w:eastAsia="MS Gothic" w:hAnsi="Poppins SemiBold" w:cs="Times New Roman"/>
          <w:b/>
          <w:color w:val="2F5496"/>
          <w:sz w:val="32"/>
          <w:szCs w:val="32"/>
        </w:rPr>
        <w:t>te</w:t>
      </w:r>
    </w:p>
    <w:p w:rsidR="00C47C54" w:rsidRDefault="00C47C54" w:rsidP="00C47C54">
      <w:pPr>
        <w:spacing w:before="100" w:after="100" w:line="276" w:lineRule="auto"/>
        <w:jc w:val="both"/>
        <w:rPr>
          <w:rFonts w:ascii="Poppins SemiBold" w:eastAsia="MS Gothic" w:hAnsi="Poppins SemiBold" w:cs="Times New Roman"/>
          <w:color w:val="2F5496"/>
          <w:sz w:val="26"/>
          <w:szCs w:val="26"/>
        </w:rPr>
      </w:pPr>
      <w:r w:rsidRPr="00C47C54">
        <w:rPr>
          <w:rFonts w:ascii="Poppins SemiBold" w:eastAsia="MS Gothic" w:hAnsi="Poppins SemiBold" w:cs="Times New Roman"/>
          <w:color w:val="2F5496"/>
          <w:sz w:val="26"/>
          <w:szCs w:val="26"/>
        </w:rPr>
        <w:t>Person Specificatio</w:t>
      </w:r>
      <w:r>
        <w:rPr>
          <w:rFonts w:ascii="Poppins SemiBold" w:eastAsia="MS Gothic" w:hAnsi="Poppins SemiBold" w:cs="Times New Roman"/>
          <w:color w:val="2F5496"/>
          <w:sz w:val="26"/>
          <w:szCs w:val="26"/>
        </w:rPr>
        <w:t>n</w:t>
      </w:r>
    </w:p>
    <w:p w:rsidR="001835A3" w:rsidRDefault="001835A3" w:rsidP="001835A3">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Pr>
          <w:rFonts w:ascii="Arial Narrow" w:eastAsia="Poppins-Regular" w:hAnsi="Arial Narrow" w:cs="Times New Roman"/>
          <w:color w:val="121922"/>
          <w14:textFill>
            <w14:solidFill>
              <w14:srgbClr w14:val="121922">
                <w14:lumMod w14:val="50000"/>
                <w14:lumOff w14:val="50000"/>
              </w14:srgbClr>
            </w14:solidFill>
          </w14:textFill>
        </w:rPr>
        <w:t xml:space="preserve">We see this role as part of a team of talented teachers who will work as both teachers and consultants within the Trust and beyond. There will be some team teaching and class- based responsibilities as well as time to work with other teachers, learners and families across our Trust with our Sister and Partner Schools.  You’ll work directly with the new Lead for Inclusion and the Executive Headteacher Team within the Trust.  You’ll lead on training as well take part in essential </w:t>
      </w:r>
      <w:proofErr w:type="gramStart"/>
      <w:r>
        <w:rPr>
          <w:rFonts w:ascii="Arial Narrow" w:eastAsia="Poppins-Regular" w:hAnsi="Arial Narrow" w:cs="Times New Roman"/>
          <w:color w:val="121922"/>
          <w14:textFill>
            <w14:solidFill>
              <w14:srgbClr w14:val="121922">
                <w14:lumMod w14:val="50000"/>
                <w14:lumOff w14:val="50000"/>
              </w14:srgbClr>
            </w14:solidFill>
          </w14:textFill>
        </w:rPr>
        <w:t>research based</w:t>
      </w:r>
      <w:proofErr w:type="gramEnd"/>
      <w:r>
        <w:rPr>
          <w:rFonts w:ascii="Arial Narrow" w:eastAsia="Poppins-Regular" w:hAnsi="Arial Narrow" w:cs="Times New Roman"/>
          <w:color w:val="121922"/>
          <w14:textFill>
            <w14:solidFill>
              <w14:srgbClr w14:val="121922">
                <w14:lumMod w14:val="50000"/>
                <w14:lumOff w14:val="50000"/>
              </w14:srgbClr>
            </w14:solidFill>
          </w14:textFill>
        </w:rPr>
        <w:t xml:space="preserve"> development work to enhance practice and improve outcomes.</w:t>
      </w:r>
    </w:p>
    <w:p w:rsidR="001835A3" w:rsidRDefault="001835A3" w:rsidP="00C47C54">
      <w:pPr>
        <w:spacing w:before="100" w:after="100" w:line="276" w:lineRule="auto"/>
        <w:jc w:val="both"/>
        <w:rPr>
          <w:rFonts w:ascii="Poppins SemiBold" w:eastAsia="MS Gothic" w:hAnsi="Poppins SemiBold" w:cs="Times New Roman"/>
          <w:color w:val="2F5496"/>
          <w:sz w:val="26"/>
          <w:szCs w:val="26"/>
        </w:rPr>
      </w:pP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MS Gothic" w:hAnsi="Arial Narrow" w:cs="Times New Roman"/>
          <w:color w:val="121922"/>
          <w:sz w:val="26"/>
          <w:szCs w:val="26"/>
          <w14:textFill>
            <w14:solidFill>
              <w14:srgbClr w14:val="121922">
                <w14:lumMod w14:val="50000"/>
                <w14:lumOff w14:val="50000"/>
              </w14:srgbClr>
            </w14:solidFill>
          </w14:textFill>
        </w:rPr>
        <w:t xml:space="preserve">We are looking for </w:t>
      </w:r>
      <w:r>
        <w:rPr>
          <w:rFonts w:ascii="Arial Narrow" w:eastAsia="MS Gothic" w:hAnsi="Arial Narrow" w:cs="Times New Roman"/>
          <w:color w:val="121922"/>
          <w:sz w:val="26"/>
          <w:szCs w:val="26"/>
          <w14:textFill>
            <w14:solidFill>
              <w14:srgbClr w14:val="121922">
                <w14:lumMod w14:val="50000"/>
                <w14:lumOff w14:val="50000"/>
              </w14:srgbClr>
            </w14:solidFill>
          </w14:textFill>
        </w:rPr>
        <w:t xml:space="preserve">teachers with </w:t>
      </w:r>
      <w:r w:rsidRPr="00C47C54">
        <w:rPr>
          <w:rFonts w:ascii="Arial Narrow" w:eastAsia="MS Gothic" w:hAnsi="Arial Narrow" w:cs="Times New Roman"/>
          <w:color w:val="121922"/>
          <w:sz w:val="26"/>
          <w:szCs w:val="26"/>
          <w14:textFill>
            <w14:solidFill>
              <w14:srgbClr w14:val="121922">
                <w14:lumMod w14:val="50000"/>
                <w14:lumOff w14:val="50000"/>
              </w14:srgbClr>
            </w14:solidFill>
          </w14:textFill>
        </w:rPr>
        <w:t>the following skillset to join our team.</w:t>
      </w:r>
    </w:p>
    <w:tbl>
      <w:tblPr>
        <w:tblpPr w:leftFromText="180" w:rightFromText="180" w:vertAnchor="page" w:horzAnchor="margin" w:tblpY="4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275"/>
        <w:gridCol w:w="6430"/>
        <w:gridCol w:w="5243"/>
      </w:tblGrid>
      <w:tr w:rsidR="00C47C54" w:rsidRPr="00C47C54" w:rsidTr="00600416">
        <w:trPr>
          <w:trHeight w:val="406"/>
        </w:trPr>
        <w:tc>
          <w:tcPr>
            <w:tcW w:w="2275" w:type="dxa"/>
          </w:tcPr>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p>
        </w:tc>
        <w:tc>
          <w:tcPr>
            <w:tcW w:w="6430"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Essential</w:t>
            </w:r>
          </w:p>
        </w:tc>
        <w:tc>
          <w:tcPr>
            <w:tcW w:w="5243"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Desirable</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Qualifications</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application form</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Qualified Teacher status.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Degree or Degree / PGCE.</w:t>
            </w: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Evidence of INSET and commitment to further professional development.</w:t>
            </w:r>
          </w:p>
          <w:p w:rsid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Training and qualification in practice to support special needs</w:t>
            </w:r>
            <w:r w:rsidR="00D86F39">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512A5B" w:rsidRDefault="00512A5B"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Evidence to support additional training in understanding SEMH</w:t>
            </w:r>
          </w:p>
          <w:p w:rsidR="00B35547" w:rsidRPr="00C47C54" w:rsidRDefault="00D86F39"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Experience of leading others successfully.</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Experience</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portfolio/presentation</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experience of:</w:t>
            </w:r>
          </w:p>
          <w:p w:rsid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Delivering high quality teaching within a school.</w:t>
            </w:r>
          </w:p>
          <w:p w:rsidR="001835A3" w:rsidRDefault="001835A3"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Delivering high quality training, support and guidance to a range of audiences.</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Delivering outcomes for learners with SEN within a whole class setting.</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Safeguarding in a Primary School.</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in partnership with other professionals</w:t>
            </w:r>
            <w:r w:rsidR="00512A5B">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with other agencies / external partners to devise plans to support learning</w:t>
            </w:r>
            <w:r w:rsidR="00512A5B">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in partnership with parents and carers</w:t>
            </w:r>
            <w:r w:rsidR="00512A5B">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512A5B" w:rsidRPr="00C47C54" w:rsidRDefault="00512A5B" w:rsidP="001835A3">
            <w:pPr>
              <w:spacing w:before="120" w:after="120" w:line="240" w:lineRule="auto"/>
              <w:ind w:left="720"/>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In addition, the Teacher might have experience of:</w:t>
            </w:r>
          </w:p>
          <w:p w:rsidR="00C47C54" w:rsidRPr="00C47C54" w:rsidRDefault="00C47C54"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Teaching across the whole Primary age range.</w:t>
            </w:r>
          </w:p>
          <w:p w:rsidR="00C47C54" w:rsidRDefault="00C47C54"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with children and young people in different settings.</w:t>
            </w:r>
          </w:p>
          <w:p w:rsidR="00512A5B" w:rsidRDefault="00512A5B"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Experience of working in special setting or resourced provision</w:t>
            </w:r>
            <w:r w:rsidR="00B35547">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512A5B" w:rsidRPr="00C47C54" w:rsidRDefault="00512A5B"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Leading </w:t>
            </w:r>
            <w:r w:rsidR="001835A3">
              <w:rPr>
                <w:rFonts w:ascii="Arial Narrow" w:eastAsia="Poppins-Regular" w:hAnsi="Arial Narrow" w:cs="Times New Roman"/>
                <w:color w:val="121922"/>
                <w:sz w:val="18"/>
                <w:szCs w:val="18"/>
                <w14:textFill>
                  <w14:solidFill>
                    <w14:srgbClr w14:val="121922">
                      <w14:lumMod w14:val="50000"/>
                      <w14:lumOff w14:val="50000"/>
                    </w14:srgbClr>
                  </w14:solidFill>
                </w14:textFill>
              </w:rPr>
              <w:t>teams in supporting practice linked to SEMH.</w:t>
            </w:r>
          </w:p>
          <w:p w:rsidR="00C47C54" w:rsidRPr="00C47C54" w:rsidRDefault="00C47C54" w:rsidP="00C47C54">
            <w:pPr>
              <w:spacing w:before="120" w:after="120" w:line="240" w:lineRule="auto"/>
              <w:ind w:left="720"/>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Knowledge and understanding</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application form</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lastRenderedPageBreak/>
              <w:t>portfolio/presentation</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The knowledge and understanding of:</w:t>
            </w:r>
          </w:p>
          <w:p w:rsid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theory and practice of providing effectively for the individual needs of all children (e.g. classroom organisation and learning strategies)</w:t>
            </w:r>
          </w:p>
          <w:p w:rsidR="001835A3" w:rsidRPr="00C47C54" w:rsidRDefault="001835A3"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A thorough understanding of SEMH and other related needs</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w:t>
            </w:r>
          </w:p>
          <w:p w:rsidR="00C47C54" w:rsidRP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Effective teaching and learning styles.</w:t>
            </w:r>
          </w:p>
          <w:p w:rsid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monitoring, assessment, recording and reporting of pupils’ progress.</w:t>
            </w:r>
          </w:p>
          <w:p w:rsidR="00C47C54" w:rsidRP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What constitutes quality and high standards in learning and how to sustain this.</w:t>
            </w:r>
          </w:p>
          <w:p w:rsidR="00C47C54" w:rsidRP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statutory requirements of legislation concerning Equal Opportunities, Health &amp; Safety, SEND and Child Protection.</w:t>
            </w:r>
          </w:p>
          <w:p w:rsidR="00C47C54" w:rsidRPr="00C47C54" w:rsidRDefault="00C47C54" w:rsidP="001835A3">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positive links necessary within school and with all its stakeholders</w:t>
            </w:r>
          </w:p>
          <w:p w:rsidR="00C47C54" w:rsidRPr="00C47C54" w:rsidRDefault="00C47C54" w:rsidP="00C47C54">
            <w:p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p w:rsidR="00C47C54" w:rsidRPr="00C47C54" w:rsidRDefault="00C47C54" w:rsidP="00C47C54">
            <w:p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In addition, the Teacher might also have knowledge and understanding of:</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Assessment </w:t>
            </w:r>
            <w:r w:rsidR="001835A3">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and monitoring </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tasks.</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links between schools and other agencies.</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Partner school and network meetings / activities including cross phase activities that enhance provision.</w:t>
            </w:r>
          </w:p>
          <w:p w:rsid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Proven research models to support how learners develop, learn and succeed.</w:t>
            </w:r>
          </w:p>
          <w:p w:rsidR="00B35547" w:rsidRPr="00C47C54" w:rsidRDefault="00B35547"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Evidence of impact </w:t>
            </w:r>
            <w:r w:rsidR="001835A3">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of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work in current/ previous posts.</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lang w:eastAsia="en-GB"/>
                <w14:textFill>
                  <w14:solidFill>
                    <w14:srgbClr w14:val="121922">
                      <w14:lumMod w14:val="50000"/>
                      <w14:lumOff w14:val="50000"/>
                    </w14:srgbClr>
                  </w14:solidFill>
                </w14:textFill>
              </w:rPr>
              <w:lastRenderedPageBreak/>
              <w:t>Skills</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t>portfolio/presentation</w:t>
            </w:r>
          </w:p>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p>
        </w:tc>
        <w:tc>
          <w:tcPr>
            <w:tcW w:w="6430" w:type="dxa"/>
          </w:tcPr>
          <w:p w:rsidR="00D86F39"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w:t>
            </w:r>
            <w:r w:rsidR="00D86F39">
              <w:rPr>
                <w:rFonts w:ascii="Arial Narrow" w:eastAsia="Poppins-Regular" w:hAnsi="Arial Narrow" w:cs="Times New Roman"/>
                <w:color w:val="121922"/>
                <w:sz w:val="18"/>
                <w:szCs w:val="18"/>
                <w14:textFill>
                  <w14:solidFill>
                    <w14:srgbClr w14:val="121922">
                      <w14:lumMod w14:val="50000"/>
                      <w14:lumOff w14:val="50000"/>
                    </w14:srgbClr>
                  </w14:solidFill>
                </w14:textFill>
              </w:rPr>
              <w:t>o</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be able to:</w:t>
            </w:r>
          </w:p>
          <w:p w:rsidR="00C47C54" w:rsidRDefault="00C47C54" w:rsidP="00C47C54">
            <w:pPr>
              <w:numPr>
                <w:ilvl w:val="0"/>
                <w:numId w:val="4"/>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Create a happy, challenging and effective learning environment.</w:t>
            </w:r>
          </w:p>
          <w:p w:rsidR="00B35547" w:rsidRPr="00C47C54" w:rsidRDefault="00B35547" w:rsidP="00C47C54">
            <w:pPr>
              <w:numPr>
                <w:ilvl w:val="0"/>
                <w:numId w:val="4"/>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Skilfully lead teams across the </w:t>
            </w:r>
            <w:r w:rsidR="001835A3">
              <w:rPr>
                <w:rFonts w:ascii="Arial Narrow" w:eastAsia="Poppins-Regular" w:hAnsi="Arial Narrow" w:cs="Times New Roman"/>
                <w:color w:val="121922"/>
                <w:sz w:val="18"/>
                <w:szCs w:val="18"/>
                <w14:textFill>
                  <w14:solidFill>
                    <w14:srgbClr w14:val="121922">
                      <w14:lumMod w14:val="50000"/>
                      <w14:lumOff w14:val="50000"/>
                    </w14:srgbClr>
                  </w14:solidFill>
                </w14:textFill>
              </w:rPr>
              <w:t>Trust</w:t>
            </w:r>
            <w:r w:rsidR="00814F9C">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bookmarkStart w:id="0" w:name="_GoBack"/>
            <w:bookmarkEnd w:id="0"/>
          </w:p>
          <w:p w:rsidR="00C47C54" w:rsidRPr="00C47C54" w:rsidRDefault="00C47C54" w:rsidP="00C47C54">
            <w:pPr>
              <w:numPr>
                <w:ilvl w:val="0"/>
                <w:numId w:val="4"/>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Demonstrate commitment to learning from first hand practical experiences.</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Promote the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Trust</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’s aims positively, and use effective strategies to monitor pupil motivation and morale.</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Develop good personal relationships within the school team.                 </w:t>
            </w:r>
          </w:p>
          <w:p w:rsid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Establish and develop close relationships with parents,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other professionals</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and the community.</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Communicate effectively (both orally and in writing) to a variety of audiences.</w:t>
            </w: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In addition, the Teacher might also be able to:</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Lead additional enrichment and extra-curricular activities.</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Show an interest in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wider educational research</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and the ability to lead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training for others</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Demonstrate high level IT competencies.</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Develop strategies for creating community links.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lang w:eastAsia="en-GB"/>
                <w14:textFill>
                  <w14:solidFill>
                    <w14:srgbClr w14:val="121922">
                      <w14:lumMod w14:val="50000"/>
                      <w14:lumOff w14:val="50000"/>
                    </w14:srgbClr>
                  </w14:solidFill>
                </w14:textFill>
              </w:rPr>
              <w:t>Personal characteristics</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w:t>
            </w:r>
            <w:r w:rsidR="00D86F39">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o </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be able to demonstrate the following personal qualities through the application and interview processes:</w:t>
            </w:r>
          </w:p>
          <w:p w:rsid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The ability to work within and promote the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vision of the Trust.</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 commitment to inclusion.</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Dedication and determination.</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Approachability and empathy.</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Organisation and resourcefulness.</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Enthusiasm.</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A commitment to reflective practice.</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Patience: showing warmth, care, sensitivity and interest when dealing with children and carers.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bl>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b/>
          <w:bCs/>
          <w:color w:val="121922"/>
          <w14:textFill>
            <w14:solidFill>
              <w14:srgbClr w14:val="121922">
                <w14:lumMod w14:val="50000"/>
                <w14:lumOff w14:val="50000"/>
              </w14:srgbClr>
            </w14:solidFill>
          </w14:textFill>
        </w:rPr>
        <w:br w:type="page"/>
      </w:r>
    </w:p>
    <w:tbl>
      <w:tblPr>
        <w:tblW w:w="0" w:type="auto"/>
        <w:tblInd w:w="-40"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7372"/>
      </w:tblGrid>
      <w:tr w:rsidR="00C47C54" w:rsidRPr="00C47C54" w:rsidTr="00C47C54">
        <w:tc>
          <w:tcPr>
            <w:tcW w:w="7372" w:type="dxa"/>
            <w:tcBorders>
              <w:top w:val="nil"/>
              <w:bottom w:val="nil"/>
            </w:tcBorders>
            <w:hideMark/>
          </w:tcPr>
          <w:p w:rsidR="00C47C54" w:rsidRPr="00C47C54" w:rsidRDefault="00C47C54" w:rsidP="00C47C54">
            <w:pPr>
              <w:spacing w:after="0"/>
              <w:ind w:left="288"/>
              <w:rPr>
                <w:rFonts w:ascii="Poppins-Regular" w:eastAsia="Poppins-Regular" w:hAnsi="Poppins-Regular" w:cs="Times New Roman"/>
                <w:sz w:val="20"/>
              </w:rPr>
            </w:pPr>
          </w:p>
        </w:tc>
      </w:tr>
    </w:tbl>
    <w:p w:rsidR="00C47C54" w:rsidRPr="00C47C54" w:rsidRDefault="00C47C54" w:rsidP="00C47C54">
      <w:pPr>
        <w:rPr>
          <w:rFonts w:ascii="Poppins-Regular" w:eastAsia="Poppins-Regular" w:hAnsi="Poppins-Regular" w:cs="Times New Roman"/>
        </w:rPr>
      </w:pPr>
    </w:p>
    <w:p w:rsidR="00C47C54" w:rsidRPr="00C47C54" w:rsidRDefault="00C47C54" w:rsidP="00C47C54">
      <w:pPr>
        <w:keepNext/>
        <w:keepLines/>
        <w:spacing w:before="200" w:after="200"/>
        <w:outlineLvl w:val="1"/>
        <w:rPr>
          <w:rFonts w:ascii="Arial Narrow" w:eastAsia="MS Gothic" w:hAnsi="Arial Narrow" w:cs="Times New Roman"/>
          <w:color w:val="121922"/>
          <w:sz w:val="26"/>
          <w:szCs w:val="26"/>
          <w14:textFill>
            <w14:solidFill>
              <w14:srgbClr w14:val="121922">
                <w14:lumMod w14:val="50000"/>
                <w14:lumOff w14:val="50000"/>
              </w14:srgbClr>
            </w14:solidFill>
          </w14:textFill>
        </w:rPr>
      </w:pPr>
    </w:p>
    <w:p w:rsidR="00C47C54" w:rsidRDefault="00C47C54"/>
    <w:p w:rsidR="00C47C54" w:rsidRDefault="00C47C54"/>
    <w:p w:rsidR="00C47C54" w:rsidRDefault="00C47C54" w:rsidP="00C47C54">
      <w:pPr>
        <w:tabs>
          <w:tab w:val="left" w:pos="6285"/>
        </w:tabs>
      </w:pPr>
      <w:r>
        <w:tab/>
      </w:r>
    </w:p>
    <w:p w:rsidR="00C47C54" w:rsidRDefault="00C47C54" w:rsidP="00C47C54">
      <w:pPr>
        <w:tabs>
          <w:tab w:val="left" w:pos="6285"/>
        </w:tabs>
      </w:pPr>
    </w:p>
    <w:p w:rsidR="00C47C54" w:rsidRPr="00C47C54" w:rsidRDefault="00C47C54" w:rsidP="00C47C54">
      <w:pPr>
        <w:tabs>
          <w:tab w:val="left" w:pos="6285"/>
        </w:tabs>
      </w:pPr>
    </w:p>
    <w:sectPr w:rsidR="00C47C54" w:rsidRPr="00C47C54" w:rsidSect="00C47C5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C54" w:rsidRDefault="00C47C54" w:rsidP="00C47C54">
      <w:pPr>
        <w:spacing w:after="0" w:line="240" w:lineRule="auto"/>
      </w:pPr>
      <w:r>
        <w:separator/>
      </w:r>
    </w:p>
  </w:endnote>
  <w:endnote w:type="continuationSeparator" w:id="0">
    <w:p w:rsidR="00C47C54" w:rsidRDefault="00C47C54" w:rsidP="00C4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oppi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C54" w:rsidRDefault="00C47C54" w:rsidP="00C47C54">
      <w:pPr>
        <w:spacing w:after="0" w:line="240" w:lineRule="auto"/>
      </w:pPr>
      <w:r>
        <w:separator/>
      </w:r>
    </w:p>
  </w:footnote>
  <w:footnote w:type="continuationSeparator" w:id="0">
    <w:p w:rsidR="00C47C54" w:rsidRDefault="00C47C54" w:rsidP="00C4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54" w:rsidRPr="00C47C54" w:rsidRDefault="00C47C54">
    <w:pPr>
      <w:pStyle w:val="Header"/>
      <w:rPr>
        <w:sz w:val="36"/>
        <w:szCs w:val="36"/>
      </w:rPr>
    </w:pPr>
    <w:r w:rsidRPr="00C47C54">
      <w:rPr>
        <w:b/>
        <w:color w:val="2F5496" w:themeColor="accent1" w:themeShade="BF"/>
        <w:sz w:val="36"/>
        <w:szCs w:val="36"/>
      </w:rPr>
      <w:t>Vacancies at Four Rivers</w:t>
    </w:r>
    <w:r w:rsidRPr="00C47C54">
      <w:rPr>
        <w:b/>
        <w:noProof/>
        <w:color w:val="002060"/>
        <w:sz w:val="36"/>
        <w:szCs w:val="36"/>
      </w:rPr>
      <w:t xml:space="preserve"> </w:t>
    </w:r>
    <w:r w:rsidRPr="00C47C54">
      <w:rPr>
        <w:sz w:val="36"/>
        <w:szCs w:val="36"/>
      </w:rPr>
      <w:drawing>
        <wp:anchor distT="0" distB="0" distL="114300" distR="114300" simplePos="0" relativeHeight="251659264" behindDoc="0" locked="0" layoutInCell="1" allowOverlap="1" wp14:anchorId="7E4C965C" wp14:editId="5B313B1C">
          <wp:simplePos x="0" y="0"/>
          <wp:positionH relativeFrom="margin">
            <wp:posOffset>-695325</wp:posOffset>
          </wp:positionH>
          <wp:positionV relativeFrom="paragraph">
            <wp:posOffset>-306705</wp:posOffset>
          </wp:positionV>
          <wp:extent cx="1800225" cy="603885"/>
          <wp:effectExtent l="0" t="0" r="9525" b="5715"/>
          <wp:wrapSquare wrapText="bothSides"/>
          <wp:docPr id="309197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63"/>
    <w:multiLevelType w:val="hybridMultilevel"/>
    <w:tmpl w:val="85BAB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C7046"/>
    <w:multiLevelType w:val="hybridMultilevel"/>
    <w:tmpl w:val="110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958EA"/>
    <w:multiLevelType w:val="hybridMultilevel"/>
    <w:tmpl w:val="A93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476F9"/>
    <w:multiLevelType w:val="hybridMultilevel"/>
    <w:tmpl w:val="305ECFFA"/>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8174A"/>
    <w:multiLevelType w:val="hybridMultilevel"/>
    <w:tmpl w:val="E2989514"/>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E56D7"/>
    <w:multiLevelType w:val="hybridMultilevel"/>
    <w:tmpl w:val="6D04B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82E50"/>
    <w:multiLevelType w:val="hybridMultilevel"/>
    <w:tmpl w:val="E6A4D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03EE"/>
    <w:multiLevelType w:val="hybridMultilevel"/>
    <w:tmpl w:val="BBD8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E6C09"/>
    <w:multiLevelType w:val="hybridMultilevel"/>
    <w:tmpl w:val="B67EA4D6"/>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934ED"/>
    <w:multiLevelType w:val="hybridMultilevel"/>
    <w:tmpl w:val="1FE85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05937"/>
    <w:multiLevelType w:val="hybridMultilevel"/>
    <w:tmpl w:val="B00E7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97DFC"/>
    <w:multiLevelType w:val="hybridMultilevel"/>
    <w:tmpl w:val="E12C1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10"/>
  </w:num>
  <w:num w:numId="6">
    <w:abstractNumId w:val="11"/>
  </w:num>
  <w:num w:numId="7">
    <w:abstractNumId w:val="1"/>
  </w:num>
  <w:num w:numId="8">
    <w:abstractNumId w:val="4"/>
  </w:num>
  <w:num w:numId="9">
    <w:abstractNumId w:val="8"/>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54"/>
    <w:rsid w:val="001835A3"/>
    <w:rsid w:val="00512A5B"/>
    <w:rsid w:val="005A3623"/>
    <w:rsid w:val="006B4013"/>
    <w:rsid w:val="00814F9C"/>
    <w:rsid w:val="00B35547"/>
    <w:rsid w:val="00B63F1D"/>
    <w:rsid w:val="00C47C54"/>
    <w:rsid w:val="00C61DC5"/>
    <w:rsid w:val="00D86F39"/>
    <w:rsid w:val="00E71FD5"/>
    <w:rsid w:val="00EE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E236"/>
  <w15:chartTrackingRefBased/>
  <w15:docId w15:val="{2C4A4855-C357-4788-88BF-DBD21D5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C54"/>
  </w:style>
  <w:style w:type="paragraph" w:styleId="Footer">
    <w:name w:val="footer"/>
    <w:basedOn w:val="Normal"/>
    <w:link w:val="FooterChar"/>
    <w:uiPriority w:val="99"/>
    <w:unhideWhenUsed/>
    <w:rsid w:val="00C47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four-rivers.co.uk" TargetMode="External"/><Relationship Id="rId3" Type="http://schemas.openxmlformats.org/officeDocument/2006/relationships/settings" Target="settings.xml"/><Relationship Id="rId7" Type="http://schemas.openxmlformats.org/officeDocument/2006/relationships/hyperlink" Target="mailto:Hello@four-rive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lo@four-riv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Ames</dc:creator>
  <cp:keywords/>
  <dc:description/>
  <cp:lastModifiedBy>Mrs Ames</cp:lastModifiedBy>
  <cp:revision>2</cp:revision>
  <dcterms:created xsi:type="dcterms:W3CDTF">2025-01-20T14:47:00Z</dcterms:created>
  <dcterms:modified xsi:type="dcterms:W3CDTF">2025-01-20T14:47:00Z</dcterms:modified>
</cp:coreProperties>
</file>